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9F2D9" w14:textId="5CC2C7ED" w:rsidR="007B68A8" w:rsidRDefault="007B68A8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11469BD8" wp14:editId="70F3FC3F">
            <wp:extent cx="7616825" cy="10731260"/>
            <wp:effectExtent l="0" t="0" r="3175" b="0"/>
            <wp:docPr id="900441195" name="Picture 1" descr="โภชนาการหญิงตั้งครรภ์ เพื่อลูกมีน้ำหนักแรกเกิดมากกว่า 2,500 กรัม -  ห้องสมุดเฉลิมพระเกียรติ ๕๐ พรรษา อำเภอถลาง - หน้าหนังสือ 1 - 1 | พลิก PDF  ออนไลน์ | PubHTML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ภชนาการหญิงตั้งครรภ์ เพื่อลูกมีน้ำหนักแรกเกิดมากกว่า 2,500 กรัม -  ห้องสมุดเฉลิมพระเกียรติ ๕๐ พรรษา อำเภอถลาง - หน้าหนังสือ 1 - 1 | พลิก PDF  ออนไลน์ | PubHTML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143" cy="1075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68A8" w:rsidSect="007B68A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A8"/>
    <w:rsid w:val="007B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8DB0E"/>
  <w15:chartTrackingRefBased/>
  <w15:docId w15:val="{AD67A0FA-105D-45E3-A806-7A695267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www.gggcomputer.com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2023-08-15T02:19:00Z</dcterms:created>
  <dcterms:modified xsi:type="dcterms:W3CDTF">2023-08-15T02:20:00Z</dcterms:modified>
</cp:coreProperties>
</file>